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4" Type="http://schemas.openxmlformats.org/officeDocument/2006/relationships/officeDocument" Target="word/document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360" w:lineRule="auto"/>
        <w:jc w:val="center"/>
        <w:rPr>
          <w:rFonts w:hint="eastAsia" w:ascii="宋体"/>
          <w:b/>
          <w:sz w:val="36"/>
          <w:szCs w:val="36"/>
        </w:rPr>
      </w:pPr>
      <w:r>
        <w:rPr>
          <w:rFonts w:hint="eastAsia" w:ascii="宋体" w:hAnsi="宋体"/>
          <w:b/>
          <w:sz w:val="36"/>
          <w:szCs w:val="36"/>
        </w:rPr>
        <w:t>东莞理工学院城市学院学生违纪处分申诉暂行规定</w:t>
      </w:r>
    </w:p>
    <w:p>
      <w:pPr>
        <w:spacing w:line="360" w:lineRule="auto"/>
        <w:ind w:firstLine="420" w:firstLineChars="200"/>
        <w:rPr>
          <w:rFonts w:ascii="仿宋_GB2312" w:hAnsi="仿宋" w:eastAsia="仿宋_GB2312"/>
          <w:szCs w:val="21"/>
        </w:rPr>
      </w:pPr>
    </w:p>
    <w:p>
      <w:pPr>
        <w:spacing w:line="360" w:lineRule="auto"/>
        <w:ind w:firstLine="420" w:firstLineChars="20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第一条</w:t>
      </w:r>
      <w:r>
        <w:rPr>
          <w:rFonts w:ascii="仿宋_GB2312" w:hAnsi="仿宋" w:eastAsia="仿宋_GB2312"/>
          <w:sz w:val="32"/>
          <w:szCs w:val="32"/>
        </w:rPr>
        <w:t xml:space="preserve">  </w:t>
      </w:r>
      <w:r>
        <w:rPr>
          <w:rFonts w:hint="eastAsia" w:ascii="仿宋_GB2312" w:hAnsi="仿宋" w:eastAsia="仿宋_GB2312"/>
          <w:sz w:val="32"/>
          <w:szCs w:val="32"/>
        </w:rPr>
        <w:t>为了保障学生的合法权益，根据《中华人民共和国教育法》、《中华人民共和国高等教育法》、《普通高等学校学生管理规定》，特制定本暂行规定。</w:t>
      </w:r>
    </w:p>
    <w:p>
      <w:pPr>
        <w:spacing w:line="360" w:lineRule="auto"/>
        <w:ind w:firstLine="420" w:firstLineChars="20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第二条</w:t>
      </w:r>
      <w:r>
        <w:rPr>
          <w:rFonts w:ascii="仿宋_GB2312" w:hAnsi="仿宋" w:eastAsia="仿宋_GB2312"/>
          <w:sz w:val="32"/>
          <w:szCs w:val="32"/>
        </w:rPr>
        <w:t xml:space="preserve">  </w:t>
      </w:r>
      <w:r>
        <w:rPr>
          <w:rFonts w:hint="eastAsia" w:ascii="仿宋_GB2312" w:hAnsi="仿宋" w:eastAsia="仿宋_GB2312"/>
          <w:sz w:val="32"/>
          <w:szCs w:val="32"/>
        </w:rPr>
        <w:t>凡在校学生对学校作出的警告、严重警告、记过、留校察看、开除学籍处分决定不服的，可根据本规定向学院学生申诉处理委员会提出申诉。</w:t>
      </w:r>
    </w:p>
    <w:p>
      <w:pPr>
        <w:spacing w:line="360" w:lineRule="auto"/>
        <w:ind w:firstLine="420" w:firstLineChars="20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第三条</w:t>
      </w:r>
      <w:r>
        <w:rPr>
          <w:rFonts w:ascii="仿宋_GB2312" w:hAnsi="仿宋" w:eastAsia="仿宋_GB2312"/>
          <w:sz w:val="32"/>
          <w:szCs w:val="32"/>
        </w:rPr>
        <w:t xml:space="preserve">  </w:t>
      </w:r>
      <w:r>
        <w:rPr>
          <w:rFonts w:hint="eastAsia" w:ascii="仿宋_GB2312" w:hAnsi="仿宋" w:eastAsia="仿宋_GB2312"/>
          <w:sz w:val="32"/>
          <w:szCs w:val="32"/>
        </w:rPr>
        <w:t>学院设立学生申诉处理委员会，由学院负责人、职能部门负责人（教务处、学生处、保卫办）、教师（系、部、教研组）、学生代表（学生会、学生分会主席）等九人组成。</w:t>
      </w:r>
    </w:p>
    <w:p>
      <w:pPr>
        <w:spacing w:line="360" w:lineRule="auto"/>
        <w:ind w:firstLine="420" w:firstLineChars="20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第四条</w:t>
      </w:r>
      <w:r>
        <w:rPr>
          <w:rFonts w:ascii="仿宋_GB2312" w:hAnsi="仿宋" w:eastAsia="仿宋_GB2312"/>
          <w:sz w:val="32"/>
          <w:szCs w:val="32"/>
        </w:rPr>
        <w:t xml:space="preserve">  </w:t>
      </w:r>
      <w:r>
        <w:rPr>
          <w:rFonts w:hint="eastAsia" w:ascii="仿宋_GB2312" w:hAnsi="仿宋" w:eastAsia="仿宋_GB2312"/>
          <w:sz w:val="32"/>
          <w:szCs w:val="32"/>
        </w:rPr>
        <w:t>学生申诉处理委员会设主任一名；</w:t>
      </w:r>
    </w:p>
    <w:p>
      <w:pPr>
        <w:spacing w:line="360" w:lineRule="auto"/>
        <w:ind w:firstLine="420" w:firstLineChars="20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学生申诉处理委员会主任由院长指定学校负责人担任；</w:t>
      </w:r>
    </w:p>
    <w:p>
      <w:pPr>
        <w:spacing w:line="360" w:lineRule="auto"/>
        <w:ind w:firstLine="420" w:firstLineChars="20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学生申诉处理委员会委员由相关部门推荐产生。</w:t>
      </w:r>
    </w:p>
    <w:p>
      <w:pPr>
        <w:spacing w:line="360" w:lineRule="auto"/>
        <w:ind w:firstLine="420" w:firstLineChars="20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第五条</w:t>
      </w:r>
      <w:r>
        <w:rPr>
          <w:rFonts w:ascii="仿宋_GB2312" w:hAnsi="仿宋" w:eastAsia="仿宋_GB2312"/>
          <w:sz w:val="32"/>
          <w:szCs w:val="32"/>
        </w:rPr>
        <w:t xml:space="preserve">  </w:t>
      </w:r>
      <w:r>
        <w:rPr>
          <w:rFonts w:hint="eastAsia" w:ascii="仿宋_GB2312" w:hAnsi="仿宋" w:eastAsia="仿宋_GB2312"/>
          <w:sz w:val="32"/>
          <w:szCs w:val="32"/>
        </w:rPr>
        <w:t>学生申诉处理委员会办公室设在院学生处办公室，由学生事务管理科负责受理接收、审查申请书，通知当事人参加听证，送达复查决定书，保管申诉卷宗等。</w:t>
      </w:r>
    </w:p>
    <w:p>
      <w:pPr>
        <w:spacing w:line="360" w:lineRule="auto"/>
        <w:ind w:firstLine="420" w:firstLineChars="20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第六条</w:t>
      </w:r>
      <w:r>
        <w:rPr>
          <w:rFonts w:ascii="仿宋_GB2312" w:hAnsi="仿宋" w:eastAsia="仿宋_GB2312"/>
          <w:sz w:val="32"/>
          <w:szCs w:val="32"/>
        </w:rPr>
        <w:t xml:space="preserve">  </w:t>
      </w:r>
      <w:r>
        <w:rPr>
          <w:rFonts w:hint="eastAsia" w:ascii="仿宋_GB2312" w:hAnsi="仿宋" w:eastAsia="仿宋_GB2312"/>
          <w:sz w:val="32"/>
          <w:szCs w:val="32"/>
        </w:rPr>
        <w:t>学生对处分决定有异议的，在接到学校处分决定书之日起</w:t>
      </w:r>
      <w:r>
        <w:rPr>
          <w:rFonts w:ascii="仿宋_GB2312" w:hAnsi="仿宋" w:eastAsia="仿宋_GB2312"/>
          <w:sz w:val="32"/>
          <w:szCs w:val="32"/>
        </w:rPr>
        <w:t>5</w:t>
      </w:r>
      <w:r>
        <w:rPr>
          <w:rFonts w:hint="eastAsia" w:ascii="仿宋_GB2312" w:hAnsi="仿宋" w:eastAsia="仿宋_GB2312"/>
          <w:sz w:val="32"/>
          <w:szCs w:val="32"/>
        </w:rPr>
        <w:t>个工作日内，可以向学校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学生处学生事务科</w:t>
      </w:r>
      <w:r>
        <w:rPr>
          <w:rFonts w:hint="eastAsia" w:ascii="仿宋_GB2312" w:hAnsi="仿宋" w:eastAsia="仿宋_GB2312"/>
          <w:sz w:val="32"/>
          <w:szCs w:val="32"/>
        </w:rPr>
        <w:t>提出书面申诉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，</w:t>
      </w:r>
      <w:r>
        <w:rPr>
          <w:rFonts w:hint="eastAsia" w:ascii="仿宋_GB2312" w:hAnsi="仿宋" w:eastAsia="仿宋_GB2312"/>
          <w:strike w:val="0"/>
          <w:dstrike w:val="0"/>
          <w:sz w:val="32"/>
          <w:szCs w:val="32"/>
          <w:lang w:eastAsia="zh-CN"/>
        </w:rPr>
        <w:t>由事务科转呈</w:t>
      </w:r>
      <w:r>
        <w:rPr>
          <w:rFonts w:hint="eastAsia" w:ascii="仿宋_GB2312" w:hAnsi="仿宋" w:eastAsia="仿宋_GB2312"/>
          <w:strike w:val="0"/>
          <w:dstrike w:val="0"/>
          <w:sz w:val="32"/>
          <w:szCs w:val="32"/>
        </w:rPr>
        <w:t>学生申诉处理委员会</w:t>
      </w:r>
      <w:r>
        <w:rPr>
          <w:rFonts w:hint="eastAsia" w:ascii="仿宋_GB2312" w:hAnsi="仿宋" w:eastAsia="仿宋_GB2312"/>
          <w:sz w:val="32"/>
          <w:szCs w:val="32"/>
        </w:rPr>
        <w:t>。</w:t>
      </w:r>
      <w:r>
        <w:rPr>
          <w:rFonts w:hint="eastAsia" w:ascii="仿宋_GB2312" w:hAnsi="仿宋" w:eastAsia="仿宋_GB2312"/>
          <w:sz w:val="32"/>
          <w:szCs w:val="32"/>
        </w:rPr>
        <w:t>学生在申诉期内未提出申诉的，学校不再受理其提出的申诉。</w:t>
      </w:r>
    </w:p>
    <w:p>
      <w:pPr>
        <w:spacing w:line="360" w:lineRule="auto"/>
        <w:ind w:firstLine="420" w:firstLineChars="20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第七条</w:t>
      </w:r>
      <w:r>
        <w:rPr>
          <w:rFonts w:ascii="仿宋_GB2312" w:hAnsi="仿宋" w:eastAsia="仿宋_GB2312"/>
          <w:sz w:val="32"/>
          <w:szCs w:val="32"/>
        </w:rPr>
        <w:t xml:space="preserve">  </w:t>
      </w:r>
      <w:r>
        <w:rPr>
          <w:rFonts w:hint="eastAsia" w:ascii="仿宋_GB2312" w:hAnsi="仿宋" w:eastAsia="仿宋_GB2312"/>
          <w:sz w:val="32"/>
          <w:szCs w:val="32"/>
        </w:rPr>
        <w:t>申诉书包括以下内容：</w:t>
      </w:r>
    </w:p>
    <w:p>
      <w:pPr>
        <w:spacing w:line="360" w:lineRule="auto"/>
        <w:ind w:firstLine="420" w:firstLineChars="20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（一）申诉人的基本情况：姓名、性别、年龄、所在年级、班级等；</w:t>
      </w:r>
    </w:p>
    <w:p>
      <w:pPr>
        <w:spacing w:line="360" w:lineRule="auto"/>
        <w:ind w:firstLine="420" w:firstLineChars="20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（二）申诉请求；</w:t>
      </w:r>
    </w:p>
    <w:p>
      <w:pPr>
        <w:spacing w:line="360" w:lineRule="auto"/>
        <w:ind w:firstLine="420" w:firstLineChars="20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（三）申诉事实和理由；</w:t>
      </w:r>
    </w:p>
    <w:p>
      <w:pPr>
        <w:spacing w:line="360" w:lineRule="auto"/>
        <w:ind w:firstLine="420" w:firstLineChars="20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（四）申诉证据，包括处理决定书及其它相关证据。</w:t>
      </w:r>
    </w:p>
    <w:p>
      <w:pPr>
        <w:spacing w:line="360" w:lineRule="auto"/>
        <w:ind w:firstLine="420" w:firstLineChars="20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第八条</w:t>
      </w:r>
      <w:r>
        <w:rPr>
          <w:rFonts w:ascii="仿宋_GB2312" w:hAnsi="仿宋" w:eastAsia="仿宋_GB2312"/>
          <w:sz w:val="32"/>
          <w:szCs w:val="32"/>
        </w:rPr>
        <w:t xml:space="preserve">  </w:t>
      </w:r>
      <w:r>
        <w:rPr>
          <w:rFonts w:hint="eastAsia" w:ascii="仿宋_GB2312" w:hAnsi="仿宋" w:eastAsia="仿宋_GB2312"/>
          <w:sz w:val="32"/>
          <w:szCs w:val="32"/>
        </w:rPr>
        <w:t>学生申诉处理委员会办公室在接到书面申诉请求之日起</w:t>
      </w:r>
      <w:r>
        <w:rPr>
          <w:rFonts w:ascii="仿宋_GB2312" w:hAnsi="仿宋" w:eastAsia="仿宋_GB2312"/>
          <w:sz w:val="32"/>
          <w:szCs w:val="32"/>
        </w:rPr>
        <w:t>3</w:t>
      </w:r>
      <w:r>
        <w:rPr>
          <w:rFonts w:hint="eastAsia" w:ascii="仿宋_GB2312" w:hAnsi="仿宋" w:eastAsia="仿宋_GB2312"/>
          <w:sz w:val="32"/>
          <w:szCs w:val="32"/>
        </w:rPr>
        <w:t>个工作日内进行初步审查，申诉内容符合要求的即予以受理，不符合要求的应制作不予受理通知书并说明不予受理的理由。</w:t>
      </w:r>
    </w:p>
    <w:p>
      <w:pPr>
        <w:spacing w:line="360" w:lineRule="auto"/>
        <w:ind w:firstLine="420" w:firstLineChars="20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申诉受理条件：</w:t>
      </w:r>
    </w:p>
    <w:p>
      <w:pPr>
        <w:spacing w:line="360" w:lineRule="auto"/>
        <w:ind w:firstLine="420" w:firstLineChars="20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（一）原处分决定依据的事实不清、证据不足的；</w:t>
      </w:r>
    </w:p>
    <w:p>
      <w:pPr>
        <w:spacing w:line="360" w:lineRule="auto"/>
        <w:ind w:firstLine="420" w:firstLineChars="20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（二）原处分决定适用规定错误的；</w:t>
      </w:r>
    </w:p>
    <w:p>
      <w:pPr>
        <w:spacing w:line="360" w:lineRule="auto"/>
        <w:ind w:firstLine="420" w:firstLineChars="20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（三）原处分决定程序不符规定的；</w:t>
      </w:r>
    </w:p>
    <w:p>
      <w:pPr>
        <w:spacing w:line="360" w:lineRule="auto"/>
        <w:ind w:firstLine="420" w:firstLineChars="20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（四）有证据证明在做出原处分决定过程中，有关工作人员有徇私枉法行为的。</w:t>
      </w:r>
    </w:p>
    <w:p>
      <w:pPr>
        <w:spacing w:line="360" w:lineRule="auto"/>
        <w:ind w:firstLine="420" w:firstLineChars="20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第九条</w:t>
      </w:r>
      <w:r>
        <w:rPr>
          <w:rFonts w:ascii="仿宋_GB2312" w:hAnsi="仿宋" w:eastAsia="仿宋_GB2312"/>
          <w:sz w:val="32"/>
          <w:szCs w:val="32"/>
        </w:rPr>
        <w:t xml:space="preserve">  </w:t>
      </w:r>
      <w:r>
        <w:rPr>
          <w:rFonts w:hint="eastAsia" w:ascii="仿宋_GB2312" w:hAnsi="仿宋" w:eastAsia="仿宋_GB2312"/>
          <w:sz w:val="32"/>
          <w:szCs w:val="32"/>
        </w:rPr>
        <w:t>申诉处理委员会在接到书面申诉请求之日起</w:t>
      </w:r>
      <w:r>
        <w:rPr>
          <w:rFonts w:ascii="仿宋_GB2312" w:hAnsi="仿宋" w:eastAsia="仿宋_GB2312"/>
          <w:sz w:val="32"/>
          <w:szCs w:val="32"/>
        </w:rPr>
        <w:t>15</w:t>
      </w:r>
      <w:r>
        <w:rPr>
          <w:rFonts w:hint="eastAsia" w:ascii="仿宋_GB2312" w:hAnsi="仿宋" w:eastAsia="仿宋_GB2312"/>
          <w:sz w:val="32"/>
          <w:szCs w:val="32"/>
        </w:rPr>
        <w:t>个工作日内指定委员会成员组成调查小组，对原处理决定进行调查，并召开申诉处理委员会会议，对调查结果作出评议决定。决定应经申诉处理委员会委员集体讨论（原处理部门应回避）并半数以上通过方为有效。</w:t>
      </w:r>
    </w:p>
    <w:p>
      <w:pPr>
        <w:spacing w:line="360" w:lineRule="auto"/>
        <w:ind w:firstLine="420" w:firstLineChars="20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第十条</w:t>
      </w:r>
      <w:r>
        <w:rPr>
          <w:rFonts w:ascii="仿宋_GB2312" w:hAnsi="仿宋" w:eastAsia="仿宋_GB2312"/>
          <w:sz w:val="32"/>
          <w:szCs w:val="32"/>
        </w:rPr>
        <w:t xml:space="preserve">  </w:t>
      </w:r>
      <w:r>
        <w:rPr>
          <w:rFonts w:hint="eastAsia" w:ascii="仿宋_GB2312" w:hAnsi="仿宋" w:eastAsia="仿宋_GB2312"/>
          <w:sz w:val="32"/>
          <w:szCs w:val="32"/>
        </w:rPr>
        <w:t>学生申诉处理委员会可以作出以下决定：</w:t>
      </w:r>
    </w:p>
    <w:p>
      <w:pPr>
        <w:spacing w:line="360" w:lineRule="auto"/>
        <w:ind w:firstLine="420" w:firstLineChars="20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（一）维持原处理决定；</w:t>
      </w:r>
    </w:p>
    <w:p>
      <w:pPr>
        <w:spacing w:line="360" w:lineRule="auto"/>
        <w:ind w:firstLine="420" w:firstLineChars="20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（二）变更原处理决定；</w:t>
      </w:r>
    </w:p>
    <w:p>
      <w:pPr>
        <w:spacing w:line="360" w:lineRule="auto"/>
        <w:ind w:firstLine="420" w:firstLineChars="20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（三）撤消原处理决定。</w:t>
      </w:r>
    </w:p>
    <w:p>
      <w:pPr>
        <w:spacing w:line="360" w:lineRule="auto"/>
        <w:ind w:firstLine="420" w:firstLineChars="20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若原处理决定程序不当，可在撤消原处理决定后，要求原处理机构重新作出处理决定。</w:t>
      </w:r>
    </w:p>
    <w:p>
      <w:pPr>
        <w:spacing w:line="360" w:lineRule="auto"/>
        <w:ind w:firstLine="420" w:firstLineChars="20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第十一条</w:t>
      </w:r>
      <w:r>
        <w:rPr>
          <w:rFonts w:ascii="仿宋_GB2312" w:hAnsi="仿宋" w:eastAsia="仿宋_GB2312"/>
          <w:sz w:val="32"/>
          <w:szCs w:val="32"/>
        </w:rPr>
        <w:t xml:space="preserve">  </w:t>
      </w:r>
      <w:r>
        <w:rPr>
          <w:rFonts w:hint="eastAsia" w:ascii="仿宋_GB2312" w:hAnsi="仿宋" w:eastAsia="仿宋_GB2312"/>
          <w:sz w:val="32"/>
          <w:szCs w:val="32"/>
        </w:rPr>
        <w:t>学生申诉处理委员会认为需要变更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或撤销</w:t>
      </w:r>
      <w:r>
        <w:rPr>
          <w:rFonts w:hint="eastAsia" w:ascii="仿宋_GB2312" w:hAnsi="仿宋" w:eastAsia="仿宋_GB2312"/>
          <w:sz w:val="32"/>
          <w:szCs w:val="32"/>
        </w:rPr>
        <w:t>原决定的，由申诉委员会主任报院长办公会议审议，院长办公会议若无异议，维持申诉处理委员会的评议决定；若有异议，申诉处理委员会应再次评议。</w:t>
      </w:r>
    </w:p>
    <w:p>
      <w:pPr>
        <w:spacing w:line="360" w:lineRule="auto"/>
        <w:ind w:firstLine="420" w:firstLineChars="20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第十二条</w:t>
      </w:r>
      <w:r>
        <w:rPr>
          <w:rFonts w:ascii="仿宋_GB2312" w:hAnsi="仿宋" w:eastAsia="仿宋_GB2312"/>
          <w:sz w:val="32"/>
          <w:szCs w:val="32"/>
        </w:rPr>
        <w:t xml:space="preserve">  </w:t>
      </w:r>
      <w:r>
        <w:rPr>
          <w:rFonts w:hint="eastAsia" w:ascii="仿宋_GB2312" w:hAnsi="仿宋" w:eastAsia="仿宋_GB2312"/>
          <w:sz w:val="32"/>
          <w:szCs w:val="32"/>
        </w:rPr>
        <w:t>作出处理决定的学校有关部门，应当执行学生申诉处理委员会的评议决定。</w:t>
      </w:r>
    </w:p>
    <w:p>
      <w:pPr>
        <w:spacing w:line="360" w:lineRule="auto"/>
        <w:ind w:firstLine="420" w:firstLineChars="20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第十三条</w:t>
      </w:r>
      <w:r>
        <w:rPr>
          <w:rFonts w:ascii="仿宋_GB2312" w:hAnsi="仿宋" w:eastAsia="仿宋_GB2312"/>
          <w:sz w:val="32"/>
          <w:szCs w:val="32"/>
        </w:rPr>
        <w:t xml:space="preserve">  </w:t>
      </w:r>
      <w:r>
        <w:rPr>
          <w:rFonts w:hint="eastAsia" w:ascii="仿宋_GB2312" w:hAnsi="仿宋" w:eastAsia="仿宋_GB2312"/>
          <w:sz w:val="32"/>
          <w:szCs w:val="32"/>
        </w:rPr>
        <w:t>申诉处理委员会作出的申诉评议决定，应在</w:t>
      </w:r>
      <w:r>
        <w:rPr>
          <w:rFonts w:ascii="仿宋_GB2312" w:hAnsi="仿宋" w:eastAsia="仿宋_GB2312"/>
          <w:sz w:val="32"/>
          <w:szCs w:val="32"/>
        </w:rPr>
        <w:t>3</w:t>
      </w:r>
      <w:r>
        <w:rPr>
          <w:rFonts w:hint="eastAsia" w:ascii="仿宋_GB2312" w:hAnsi="仿宋" w:eastAsia="仿宋_GB2312"/>
          <w:sz w:val="32"/>
          <w:szCs w:val="32"/>
        </w:rPr>
        <w:t>个工作日内送交申诉人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，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由学生所在系部通知其监护人</w:t>
      </w:r>
      <w:r>
        <w:rPr>
          <w:rFonts w:hint="eastAsia" w:ascii="仿宋_GB2312" w:hAnsi="仿宋" w:eastAsia="仿宋_GB2312"/>
          <w:sz w:val="32"/>
          <w:szCs w:val="32"/>
        </w:rPr>
        <w:t>。</w:t>
      </w:r>
    </w:p>
    <w:p>
      <w:pPr>
        <w:spacing w:line="360" w:lineRule="auto"/>
        <w:ind w:firstLine="420" w:firstLineChars="20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第十四条</w:t>
      </w:r>
      <w:r>
        <w:rPr>
          <w:rFonts w:ascii="仿宋_GB2312" w:hAnsi="仿宋" w:eastAsia="仿宋_GB2312"/>
          <w:sz w:val="32"/>
          <w:szCs w:val="32"/>
        </w:rPr>
        <w:t xml:space="preserve">  </w:t>
      </w:r>
      <w:r>
        <w:rPr>
          <w:rFonts w:hint="eastAsia" w:ascii="仿宋_GB2312" w:hAnsi="仿宋" w:eastAsia="仿宋_GB2312"/>
          <w:sz w:val="32"/>
          <w:szCs w:val="32"/>
        </w:rPr>
        <w:t>申诉评议决定书在申诉人收到之日起生效。</w:t>
      </w:r>
    </w:p>
    <w:p>
      <w:pPr>
        <w:spacing w:line="360" w:lineRule="auto"/>
        <w:ind w:firstLine="420" w:firstLineChars="200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第十五条</w:t>
      </w:r>
      <w:r>
        <w:rPr>
          <w:rFonts w:ascii="仿宋_GB2312" w:hAnsi="仿宋" w:eastAsia="仿宋_GB2312"/>
          <w:sz w:val="32"/>
          <w:szCs w:val="32"/>
        </w:rPr>
        <w:t xml:space="preserve">  </w:t>
      </w:r>
      <w:r>
        <w:rPr>
          <w:rFonts w:hint="eastAsia" w:ascii="仿宋_GB2312" w:hAnsi="仿宋" w:eastAsia="仿宋_GB2312"/>
          <w:sz w:val="32"/>
          <w:szCs w:val="32"/>
        </w:rPr>
        <w:t>申诉人如不服申诉评议决定的，在接到学校复查决</w:t>
      </w:r>
      <w:bookmarkStart w:id="0" w:name="_GoBack"/>
      <w:bookmarkEnd w:id="0"/>
      <w:r>
        <w:rPr>
          <w:rFonts w:hint="eastAsia" w:ascii="仿宋_GB2312" w:hAnsi="仿宋" w:eastAsia="仿宋_GB2312"/>
          <w:sz w:val="32"/>
          <w:szCs w:val="32"/>
        </w:rPr>
        <w:t>定书之日起</w:t>
      </w:r>
      <w:r>
        <w:rPr>
          <w:rFonts w:ascii="仿宋_GB2312" w:hAnsi="仿宋" w:eastAsia="仿宋_GB2312"/>
          <w:sz w:val="32"/>
          <w:szCs w:val="32"/>
        </w:rPr>
        <w:t>15</w:t>
      </w:r>
      <w:r>
        <w:rPr>
          <w:rFonts w:hint="eastAsia" w:ascii="仿宋_GB2312" w:hAnsi="仿宋" w:eastAsia="仿宋_GB2312"/>
          <w:sz w:val="32"/>
          <w:szCs w:val="32"/>
        </w:rPr>
        <w:t>个工作日内，可向东莞市教育局有关部门提出申诉。</w:t>
      </w:r>
    </w:p>
    <w:p>
      <w:pPr>
        <w:spacing w:line="360" w:lineRule="auto"/>
        <w:ind w:firstLine="420" w:firstLineChars="200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第十六条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 xml:space="preserve">  </w:t>
      </w:r>
      <w:r>
        <w:rPr>
          <w:rFonts w:hint="default" w:ascii="仿宋_GB2312" w:hAnsi="仿宋" w:eastAsia="仿宋_GB2312"/>
          <w:sz w:val="32"/>
          <w:szCs w:val="32"/>
          <w:lang w:eastAsia="zh-CN"/>
        </w:rPr>
        <w:t>在学生提起申诉期间，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原</w:t>
      </w:r>
      <w:r>
        <w:rPr>
          <w:rFonts w:hint="default" w:ascii="仿宋_GB2312" w:hAnsi="仿宋" w:eastAsia="仿宋_GB2312"/>
          <w:sz w:val="32"/>
          <w:szCs w:val="32"/>
          <w:lang w:eastAsia="zh-CN"/>
        </w:rPr>
        <w:t>处分决定继续有效。</w:t>
      </w:r>
    </w:p>
    <w:p>
      <w:pPr>
        <w:spacing w:line="360" w:lineRule="auto"/>
        <w:ind w:firstLine="420" w:firstLineChars="200"/>
      </w:pPr>
      <w:r>
        <w:rPr>
          <w:rFonts w:hint="eastAsia" w:ascii="仿宋_GB2312" w:hAnsi="仿宋" w:eastAsia="仿宋_GB2312"/>
          <w:sz w:val="32"/>
          <w:szCs w:val="32"/>
        </w:rPr>
        <w:t>第十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七</w:t>
      </w:r>
      <w:r>
        <w:rPr>
          <w:rFonts w:hint="eastAsia" w:ascii="仿宋_GB2312" w:hAnsi="仿宋" w:eastAsia="仿宋_GB2312"/>
          <w:sz w:val="32"/>
          <w:szCs w:val="32"/>
        </w:rPr>
        <w:t>条</w:t>
      </w:r>
      <w:r>
        <w:rPr>
          <w:rFonts w:ascii="仿宋_GB2312" w:hAnsi="仿宋" w:eastAsia="仿宋_GB2312"/>
          <w:sz w:val="32"/>
          <w:szCs w:val="32"/>
        </w:rPr>
        <w:t xml:space="preserve">  </w:t>
      </w:r>
      <w:r>
        <w:rPr>
          <w:rFonts w:hint="eastAsia" w:ascii="仿宋_GB2312" w:hAnsi="仿宋" w:eastAsia="仿宋_GB2312"/>
          <w:sz w:val="32"/>
          <w:szCs w:val="32"/>
        </w:rPr>
        <w:t>本规定由东莞理工学院城市学院学生申诉处理委员会负责解释。</w:t>
      </w:r>
    </w:p>
    <w:sectPr>
      <w:headerReference r:id="rId4" w:type="default"/>
      <w:footerReference r:id="rId5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Tahoma">
    <w:panose1 w:val="020B0604030504040204"/>
    <w:charset w:val="00"/>
    <w:family w:val="auto"/>
    <w:pitch w:val="default"/>
    <w:sig w:usb0="61007A87" w:usb1="80000000" w:usb2="00000008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A0F3C52" w:usb2="00000016" w:usb3="00000000" w:csb0="0004001F" w:csb1="00000000"/>
  </w:font>
  <w:font w:name="Calibri">
    <w:panose1 w:val="020F0502020204030204"/>
    <w:charset w:val="00"/>
    <w:family w:val="auto"/>
    <w:pitch w:val="default"/>
    <w:sig w:usb0="A00002EF" w:usb1="4000207B" w:usb2="00000000" w:usb3="00000000" w:csb0="2000009F" w:csb1="00000000"/>
  </w:font>
  <w:font w:name="MT Extra">
    <w:panose1 w:val="05050102010205020202"/>
    <w:charset w:val="02"/>
    <w:family w:val="auto"/>
    <w:pitch w:val="default"/>
    <w:sig w:usb0="80000000" w:usb1="00000000" w:usb2="00000000" w:usb3="00000000" w:csb0="0000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altName w:val="仿宋_GB2312"/>
    <w:panose1 w:val="00000000000000000000"/>
    <w:charset w:val="86"/>
    <w:family w:val="auto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auto"/>
    <w:pitch w:val="default"/>
    <w:sig w:usb0="A00002EF" w:usb1="4000004B" w:usb2="00000000" w:usb3="00000000" w:csb0="2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2"/>
      <w:jc w:val="center"/>
    </w:pPr>
    <w:r>
      <w:rPr>
        <w:rFonts w:hint="eastAsia"/>
        <w:lang w:eastAsia="zh-CN"/>
      </w:rPr>
      <w:t xml:space="preserve">第 </w:t>
    </w:r>
    <w:r>
      <w:rPr>
        <w:rFonts w:hint="eastAsia"/>
        <w:lang w:eastAsia="zh-CN"/>
      </w:rPr>
      <w:fldChar w:fldCharType="begin"/>
    </w:r>
    <w:r>
      <w:rPr>
        <w:rFonts w:hint="eastAsia"/>
        <w:lang w:eastAsia="zh-CN"/>
      </w:rPr>
      <w:instrText xml:space="preserve"> PAGE  \* MERGEFORMAT </w:instrText>
    </w:r>
    <w:r>
      <w:rPr>
        <w:rFonts w:hint="eastAsia"/>
        <w:lang w:eastAsia="zh-CN"/>
      </w:rPr>
      <w:fldChar w:fldCharType="separate"/>
    </w:r>
    <w:r>
      <w:t>1</w:t>
    </w:r>
    <w:r>
      <w:rPr>
        <w:rFonts w:hint="eastAsia"/>
        <w:lang w:eastAsia="zh-CN"/>
      </w:rPr>
      <w:fldChar w:fldCharType="end"/>
    </w:r>
    <w:r>
      <w:rPr>
        <w:rFonts w:hint="eastAsia"/>
        <w:lang w:eastAsia="zh-CN"/>
      </w:rPr>
      <w:t xml:space="preserve"> 页 共 </w:t>
    </w:r>
    <w:r>
      <w:rPr>
        <w:rFonts w:hint="eastAsia"/>
        <w:lang w:eastAsia="zh-CN"/>
      </w:rPr>
      <w:fldChar w:fldCharType="begin"/>
    </w:r>
    <w:r>
      <w:rPr>
        <w:rFonts w:hint="eastAsia"/>
        <w:lang w:eastAsia="zh-CN"/>
      </w:rPr>
      <w:instrText xml:space="preserve"> NUMPAGES  \* MERGEFORMAT </w:instrText>
    </w:r>
    <w:r>
      <w:rPr>
        <w:rFonts w:hint="eastAsia"/>
        <w:lang w:eastAsia="zh-CN"/>
      </w:rPr>
      <w:fldChar w:fldCharType="separate"/>
    </w:r>
    <w:r>
      <w:rPr>
        <w:rFonts w:hint="eastAsia"/>
        <w:lang w:eastAsia="zh-CN"/>
      </w:rPr>
      <w:t>3</w:t>
    </w:r>
    <w:r>
      <w:rPr>
        <w:rFonts w:hint="eastAsia"/>
        <w:lang w:eastAsia="zh-CN"/>
      </w:rPr>
      <w:fldChar w:fldCharType="end"/>
    </w:r>
    <w:r>
      <w:rPr>
        <w:rFonts w:hint="eastAsia"/>
        <w:lang w:eastAsia="zh-CN"/>
      </w:rPr>
      <w:t xml:space="preserve"> 页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156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99" w:semiHidden="0" w:name="header"/>
    <w:lsdException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0" w:name="annotation subject"/>
    <w:lsdException w:uiPriority="0" w:name="Balloon Text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MT Extra" w:hAnsi="MT Extra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paragraph" w:styleId="2">
    <w:name w:val="footer"/>
    <w:basedOn w:val="1"/>
    <w:link w:val="6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宋体"/>
      <w:sz w:val="18"/>
      <w:szCs w:val="18"/>
    </w:rPr>
  </w:style>
  <w:style w:type="paragraph" w:styleId="3">
    <w:name w:val="header"/>
    <w:basedOn w:val="1"/>
    <w:link w:val="5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eastAsia="宋体"/>
      <w:sz w:val="18"/>
      <w:szCs w:val="18"/>
    </w:rPr>
  </w:style>
  <w:style w:type="character" w:customStyle="1" w:styleId="5">
    <w:name w:val="页眉 Char"/>
    <w:basedOn w:val="4"/>
    <w:link w:val="3"/>
    <w:uiPriority w:val="99"/>
    <w:rPr>
      <w:sz w:val="18"/>
      <w:szCs w:val="18"/>
    </w:rPr>
  </w:style>
  <w:style w:type="character" w:customStyle="1" w:styleId="6">
    <w:name w:val="页脚 Char"/>
    <w:basedOn w:val="4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fontTable" Target="fontTable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4</Pages>
  <Words>193</Words>
  <Characters>1101</Characters>
  <Lines>9</Lines>
  <Paragraphs>2</Paragraphs>
  <ScaleCrop>false</ScaleCrop>
  <LinksUpToDate>false</LinksUpToDate>
  <CharactersWithSpaces>0</CharactersWithSpaces>
  <Application>WPS Office 个人版_9.1.0.4567_{F1E327BC-269C-435d-A152-05C5408002CA}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2013-10-31T02:18:00Z</dcterms:created>
  <dc:creator>User</dc:creator>
  <cp:lastModifiedBy>Administrator</cp:lastModifiedBy>
  <dcterms:modified xsi:type="dcterms:W3CDTF">2014-05-27T01:13:45Z</dcterms:modified>
  <dc:title>东莞理工学院城市学院学生违纪处分申诉暂行规定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2052-9.1.0.4567</vt:lpwstr>
  </property>
</Properties>
</file>